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994C5" w14:textId="77777777" w:rsidR="00B1033B" w:rsidRDefault="00B1033B" w:rsidP="00B1033B">
      <w:pPr>
        <w:spacing w:after="0"/>
        <w:jc w:val="center"/>
        <w:rPr>
          <w:noProof/>
          <w:sz w:val="20"/>
          <w:szCs w:val="20"/>
        </w:rPr>
      </w:pPr>
      <w:r w:rsidRPr="00EC7B98">
        <w:rPr>
          <w:noProof/>
          <w:sz w:val="20"/>
          <w:szCs w:val="20"/>
          <w:lang w:val="en-GB" w:eastAsia="en-GB"/>
        </w:rPr>
        <w:drawing>
          <wp:inline distT="0" distB="0" distL="0" distR="0" wp14:anchorId="7E1804C4" wp14:editId="7A7BD281">
            <wp:extent cx="2418080" cy="1066800"/>
            <wp:effectExtent l="0" t="0" r="0" b="0"/>
            <wp:docPr id="1" name="Picture 1" descr="Description: LIME logo_rgb_large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IME logo_rgb_large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D4A84" w14:textId="77777777" w:rsidR="00B1033B" w:rsidRDefault="00B1033B" w:rsidP="00B1033B">
      <w:pPr>
        <w:spacing w:after="0"/>
        <w:jc w:val="center"/>
        <w:rPr>
          <w:noProof/>
          <w:sz w:val="20"/>
          <w:szCs w:val="20"/>
        </w:rPr>
      </w:pPr>
    </w:p>
    <w:p w14:paraId="19409B06" w14:textId="77777777" w:rsidR="00B1033B" w:rsidRPr="00013C5E" w:rsidRDefault="00B1033B" w:rsidP="00B1033B">
      <w:pPr>
        <w:spacing w:after="0"/>
        <w:jc w:val="center"/>
        <w:rPr>
          <w:rFonts w:ascii="Calibri" w:hAnsi="Calibri"/>
          <w:b/>
          <w:sz w:val="28"/>
          <w:szCs w:val="28"/>
          <w:lang w:val="en-AU"/>
        </w:rPr>
      </w:pPr>
      <w:r w:rsidRPr="00013C5E">
        <w:rPr>
          <w:rFonts w:ascii="Calibri" w:hAnsi="Calibri"/>
          <w:b/>
          <w:sz w:val="28"/>
          <w:szCs w:val="28"/>
          <w:lang w:val="en-AU"/>
        </w:rPr>
        <w:t>LIME Network</w:t>
      </w:r>
      <w:r>
        <w:rPr>
          <w:rFonts w:ascii="Calibri" w:hAnsi="Calibri"/>
          <w:b/>
          <w:sz w:val="28"/>
          <w:szCs w:val="28"/>
          <w:lang w:val="en-AU"/>
        </w:rPr>
        <w:t xml:space="preserve"> Reference Group </w:t>
      </w:r>
    </w:p>
    <w:p w14:paraId="5E87EC53" w14:textId="77777777" w:rsidR="00B1033B" w:rsidRPr="00013C5E" w:rsidRDefault="00B1033B" w:rsidP="00B1033B">
      <w:pPr>
        <w:spacing w:after="0"/>
        <w:jc w:val="center"/>
        <w:rPr>
          <w:rFonts w:ascii="Calibri" w:hAnsi="Calibri"/>
          <w:b/>
          <w:sz w:val="28"/>
          <w:szCs w:val="28"/>
          <w:lang w:val="en-AU"/>
        </w:rPr>
      </w:pPr>
      <w:r w:rsidRPr="00013C5E">
        <w:rPr>
          <w:rFonts w:ascii="Calibri" w:hAnsi="Calibri"/>
          <w:b/>
          <w:sz w:val="28"/>
          <w:szCs w:val="28"/>
          <w:lang w:val="en-AU"/>
        </w:rPr>
        <w:t>Terms of Reference and Composition</w:t>
      </w:r>
    </w:p>
    <w:p w14:paraId="1F82205E" w14:textId="77777777" w:rsidR="00B1033B" w:rsidRDefault="00B1033B" w:rsidP="00B1033B">
      <w:pPr>
        <w:spacing w:after="0"/>
        <w:rPr>
          <w:rFonts w:ascii="Calibri" w:hAnsi="Calibri"/>
          <w:b/>
          <w:sz w:val="22"/>
          <w:szCs w:val="22"/>
          <w:u w:val="single"/>
          <w:lang w:val="en-AU"/>
        </w:rPr>
      </w:pPr>
    </w:p>
    <w:p w14:paraId="5E20856C" w14:textId="77777777" w:rsidR="00B1033B" w:rsidRPr="00323084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  <w:r w:rsidRPr="007B6EDF">
        <w:rPr>
          <w:rFonts w:ascii="Calibri" w:hAnsi="Calibri"/>
          <w:b/>
          <w:sz w:val="22"/>
          <w:szCs w:val="22"/>
          <w:u w:val="single"/>
          <w:lang w:val="en-AU"/>
        </w:rPr>
        <w:t>Terms of Reference</w:t>
      </w:r>
    </w:p>
    <w:p w14:paraId="20AB60D2" w14:textId="77777777" w:rsidR="00B1033B" w:rsidRPr="00733BC6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sz w:val="22"/>
          <w:szCs w:val="22"/>
          <w:lang w:val="en-AU"/>
        </w:rPr>
      </w:pPr>
      <w:r w:rsidRPr="00323084">
        <w:rPr>
          <w:rFonts w:ascii="Calibri" w:hAnsi="Calibri"/>
          <w:sz w:val="22"/>
          <w:szCs w:val="22"/>
          <w:lang w:val="en-AU"/>
        </w:rPr>
        <w:t>The role of the LIME Network Reference Group is to develop and support the implementation of strategic initiatives of the</w:t>
      </w:r>
      <w:r w:rsidRPr="007B6EDF">
        <w:rPr>
          <w:rFonts w:ascii="Calibri" w:hAnsi="Calibri"/>
          <w:color w:val="292929"/>
          <w:sz w:val="22"/>
          <w:szCs w:val="22"/>
        </w:rPr>
        <w:t xml:space="preserve"> LIME Network. It also</w:t>
      </w:r>
      <w:r>
        <w:rPr>
          <w:rFonts w:ascii="Calibri" w:hAnsi="Calibri"/>
          <w:color w:val="292929"/>
          <w:sz w:val="22"/>
          <w:szCs w:val="22"/>
        </w:rPr>
        <w:t xml:space="preserve"> provides</w:t>
      </w:r>
      <w:r w:rsidRPr="00733BC6">
        <w:rPr>
          <w:rFonts w:ascii="Calibri" w:hAnsi="Calibri"/>
          <w:sz w:val="22"/>
          <w:szCs w:val="22"/>
          <w:lang w:val="en-AU"/>
        </w:rPr>
        <w:t xml:space="preserve"> peer networking, professional development and support opportunities;</w:t>
      </w:r>
      <w:r>
        <w:rPr>
          <w:rFonts w:ascii="Calibri" w:hAnsi="Calibri"/>
          <w:sz w:val="22"/>
          <w:szCs w:val="22"/>
          <w:lang w:val="en-AU"/>
        </w:rPr>
        <w:t xml:space="preserve"> c</w:t>
      </w:r>
      <w:r w:rsidRPr="00733BC6">
        <w:rPr>
          <w:rFonts w:ascii="Calibri" w:hAnsi="Calibri"/>
          <w:sz w:val="22"/>
          <w:szCs w:val="22"/>
          <w:lang w:val="en-AU"/>
        </w:rPr>
        <w:t xml:space="preserve">ontributes to the LIME Network communication </w:t>
      </w:r>
      <w:r>
        <w:rPr>
          <w:rFonts w:ascii="Calibri" w:hAnsi="Calibri"/>
          <w:sz w:val="22"/>
          <w:szCs w:val="22"/>
          <w:lang w:val="en-AU"/>
        </w:rPr>
        <w:t xml:space="preserve">and engagement </w:t>
      </w:r>
      <w:r w:rsidRPr="00733BC6">
        <w:rPr>
          <w:rFonts w:ascii="Calibri" w:hAnsi="Calibri"/>
          <w:sz w:val="22"/>
          <w:szCs w:val="22"/>
          <w:lang w:val="en-AU"/>
        </w:rPr>
        <w:t xml:space="preserve">strategy; </w:t>
      </w:r>
      <w:r>
        <w:rPr>
          <w:rFonts w:ascii="Calibri" w:hAnsi="Calibri"/>
          <w:sz w:val="22"/>
          <w:szCs w:val="22"/>
          <w:lang w:val="en-AU"/>
        </w:rPr>
        <w:t>and contributes to</w:t>
      </w:r>
      <w:r w:rsidRPr="00733BC6">
        <w:rPr>
          <w:rFonts w:ascii="Calibri" w:hAnsi="Calibri"/>
          <w:sz w:val="22"/>
          <w:szCs w:val="22"/>
          <w:lang w:val="en-AU"/>
        </w:rPr>
        <w:t xml:space="preserve"> the development and implementation of specific program work through sub-committee membership.</w:t>
      </w:r>
    </w:p>
    <w:p w14:paraId="69AE10EF" w14:textId="77777777" w:rsidR="00B1033B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</w:p>
    <w:p w14:paraId="55CC86F3" w14:textId="77777777" w:rsidR="00B1033B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  <w:r>
        <w:rPr>
          <w:rFonts w:ascii="Calibri" w:hAnsi="Calibri"/>
          <w:b/>
          <w:sz w:val="22"/>
          <w:szCs w:val="22"/>
          <w:u w:val="single"/>
          <w:lang w:val="en-AU"/>
        </w:rPr>
        <w:t>Key Functions of the LIME Network Reference Group</w:t>
      </w:r>
    </w:p>
    <w:p w14:paraId="22620839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D</w:t>
      </w:r>
      <w:r w:rsidRPr="000B62ED">
        <w:rPr>
          <w:rFonts w:ascii="Calibri" w:hAnsi="Calibri"/>
          <w:sz w:val="22"/>
          <w:szCs w:val="22"/>
          <w:lang w:val="en-AU"/>
        </w:rPr>
        <w:t xml:space="preserve">evise and implement sound </w:t>
      </w:r>
      <w:r w:rsidRPr="00894BE1">
        <w:rPr>
          <w:rFonts w:ascii="Calibri" w:hAnsi="Calibri"/>
          <w:b/>
          <w:sz w:val="22"/>
          <w:szCs w:val="22"/>
          <w:lang w:val="en-AU"/>
        </w:rPr>
        <w:t>internal review processes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related to</w:t>
      </w:r>
      <w:r w:rsidRPr="000B62ED">
        <w:rPr>
          <w:rFonts w:ascii="Calibri" w:hAnsi="Calibri"/>
          <w:sz w:val="22"/>
          <w:szCs w:val="22"/>
          <w:lang w:val="en-AU"/>
        </w:rPr>
        <w:t xml:space="preserve"> Indigenous health curriculum and </w:t>
      </w:r>
      <w:r>
        <w:rPr>
          <w:rFonts w:ascii="Calibri" w:hAnsi="Calibri"/>
          <w:sz w:val="22"/>
          <w:szCs w:val="22"/>
          <w:lang w:val="en-AU"/>
        </w:rPr>
        <w:t xml:space="preserve">Indigenous student </w:t>
      </w:r>
      <w:r w:rsidRPr="000B62ED">
        <w:rPr>
          <w:rFonts w:ascii="Calibri" w:hAnsi="Calibri"/>
          <w:sz w:val="22"/>
          <w:szCs w:val="22"/>
          <w:lang w:val="en-AU"/>
        </w:rPr>
        <w:t>support</w:t>
      </w:r>
      <w:r>
        <w:rPr>
          <w:rFonts w:ascii="Calibri" w:hAnsi="Calibri"/>
          <w:sz w:val="22"/>
          <w:szCs w:val="22"/>
          <w:lang w:val="en-AU"/>
        </w:rPr>
        <w:t xml:space="preserve"> </w:t>
      </w:r>
      <w:r w:rsidRPr="000B62ED">
        <w:rPr>
          <w:rFonts w:ascii="Calibri" w:hAnsi="Calibri"/>
          <w:sz w:val="22"/>
          <w:szCs w:val="22"/>
          <w:lang w:val="en-AU"/>
        </w:rPr>
        <w:t xml:space="preserve">in medical </w:t>
      </w:r>
      <w:r>
        <w:rPr>
          <w:rFonts w:ascii="Calibri" w:hAnsi="Calibri"/>
          <w:sz w:val="22"/>
          <w:szCs w:val="22"/>
          <w:lang w:val="en-AU"/>
        </w:rPr>
        <w:t>programs;</w:t>
      </w:r>
    </w:p>
    <w:p w14:paraId="25E2346C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Undertake</w:t>
      </w:r>
      <w:r w:rsidRPr="008F2642">
        <w:rPr>
          <w:rFonts w:ascii="Arial" w:hAnsi="Arial" w:cs="Arial"/>
          <w:b/>
          <w:bCs/>
          <w:color w:val="1F1F1F"/>
          <w:sz w:val="26"/>
          <w:szCs w:val="26"/>
        </w:rPr>
        <w:t xml:space="preserve"> </w:t>
      </w:r>
      <w:r w:rsidRPr="00420629">
        <w:rPr>
          <w:rFonts w:ascii="Calibri" w:hAnsi="Calibri"/>
          <w:sz w:val="22"/>
          <w:szCs w:val="22"/>
          <w:lang w:val="en-AU"/>
        </w:rPr>
        <w:t>and encourage</w:t>
      </w:r>
      <w:r>
        <w:rPr>
          <w:rFonts w:ascii="Arial" w:hAnsi="Arial" w:cs="Arial"/>
          <w:b/>
          <w:bCs/>
          <w:color w:val="1F1F1F"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professional development, capacity building and mutual s</w:t>
      </w:r>
      <w:r w:rsidRPr="008F2642">
        <w:rPr>
          <w:rFonts w:ascii="Calibri" w:hAnsi="Calibri"/>
          <w:b/>
          <w:bCs/>
          <w:sz w:val="22"/>
          <w:szCs w:val="22"/>
        </w:rPr>
        <w:t>upport</w:t>
      </w:r>
      <w:r>
        <w:rPr>
          <w:rFonts w:ascii="Calibri" w:hAnsi="Calibri"/>
          <w:sz w:val="22"/>
          <w:szCs w:val="22"/>
          <w:lang w:val="en-AU"/>
        </w:rPr>
        <w:t xml:space="preserve"> activities including </w:t>
      </w:r>
      <w:r w:rsidRPr="008F2642">
        <w:rPr>
          <w:rFonts w:ascii="Calibri" w:hAnsi="Calibri"/>
          <w:sz w:val="22"/>
          <w:szCs w:val="22"/>
          <w:lang w:val="en-AU"/>
        </w:rPr>
        <w:t>information sharing,</w:t>
      </w:r>
      <w:r w:rsidRPr="000B62ED">
        <w:rPr>
          <w:rFonts w:ascii="Calibri" w:hAnsi="Calibri"/>
          <w:sz w:val="22"/>
          <w:szCs w:val="22"/>
          <w:lang w:val="en-AU"/>
        </w:rPr>
        <w:t xml:space="preserve"> peer fee</w:t>
      </w:r>
      <w:r>
        <w:rPr>
          <w:rFonts w:ascii="Calibri" w:hAnsi="Calibri"/>
          <w:sz w:val="22"/>
          <w:szCs w:val="22"/>
          <w:lang w:val="en-AU"/>
        </w:rPr>
        <w:t xml:space="preserve">dback and celebrating successes </w:t>
      </w:r>
      <w:r w:rsidRPr="000B62ED">
        <w:rPr>
          <w:rFonts w:ascii="Calibri" w:hAnsi="Calibri"/>
          <w:sz w:val="22"/>
          <w:szCs w:val="22"/>
          <w:lang w:val="en-AU"/>
        </w:rPr>
        <w:t>in Indigenous health education</w:t>
      </w:r>
      <w:r>
        <w:rPr>
          <w:rFonts w:ascii="Calibri" w:hAnsi="Calibri"/>
          <w:sz w:val="22"/>
          <w:szCs w:val="22"/>
          <w:lang w:val="en-AU"/>
        </w:rPr>
        <w:t>;</w:t>
      </w:r>
    </w:p>
    <w:p w14:paraId="7201D22C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94BE1">
        <w:rPr>
          <w:rFonts w:ascii="Calibri" w:hAnsi="Calibri"/>
          <w:sz w:val="22"/>
          <w:szCs w:val="22"/>
          <w:lang w:val="en-AU"/>
        </w:rPr>
        <w:t>Encourage</w:t>
      </w:r>
      <w:r>
        <w:rPr>
          <w:rFonts w:ascii="Calibri" w:hAnsi="Calibri"/>
          <w:sz w:val="22"/>
          <w:szCs w:val="22"/>
          <w:lang w:val="en-AU"/>
        </w:rPr>
        <w:t xml:space="preserve"> and support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 w:rsidRPr="00894BE1">
        <w:rPr>
          <w:rFonts w:ascii="Calibri" w:hAnsi="Calibri"/>
          <w:b/>
          <w:sz w:val="22"/>
          <w:szCs w:val="22"/>
          <w:lang w:val="en-AU"/>
        </w:rPr>
        <w:t>scholarly work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relating to</w:t>
      </w:r>
      <w:r w:rsidRPr="000B62ED">
        <w:rPr>
          <w:rFonts w:ascii="Calibri" w:hAnsi="Calibri"/>
          <w:sz w:val="22"/>
          <w:szCs w:val="22"/>
          <w:lang w:val="en-AU"/>
        </w:rPr>
        <w:t xml:space="preserve"> Indigenous medical education and the recruitment and retention</w:t>
      </w:r>
      <w:r>
        <w:rPr>
          <w:rFonts w:ascii="Calibri" w:hAnsi="Calibri"/>
          <w:sz w:val="22"/>
          <w:szCs w:val="22"/>
          <w:lang w:val="en-AU"/>
        </w:rPr>
        <w:t xml:space="preserve"> through to graduation of Indigenous students;</w:t>
      </w:r>
    </w:p>
    <w:p w14:paraId="4AE8D200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Work towards the development of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 w:rsidRPr="00420629">
        <w:rPr>
          <w:rFonts w:ascii="Calibri" w:hAnsi="Calibri"/>
          <w:b/>
          <w:sz w:val="22"/>
          <w:szCs w:val="22"/>
          <w:lang w:val="en-AU"/>
        </w:rPr>
        <w:t>Indigenous health as a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 w:rsidRPr="00894BE1">
        <w:rPr>
          <w:rFonts w:ascii="Calibri" w:hAnsi="Calibri"/>
          <w:b/>
          <w:sz w:val="22"/>
          <w:szCs w:val="22"/>
          <w:lang w:val="en-AU"/>
        </w:rPr>
        <w:t>discipline in its own right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through</w:t>
      </w:r>
      <w:r w:rsidRPr="000B62ED">
        <w:rPr>
          <w:rFonts w:ascii="Calibri" w:hAnsi="Calibri"/>
          <w:sz w:val="22"/>
          <w:szCs w:val="22"/>
          <w:lang w:val="en-AU"/>
        </w:rPr>
        <w:t xml:space="preserve"> networking and collaboration, publications and other forms of i</w:t>
      </w:r>
      <w:r>
        <w:rPr>
          <w:rFonts w:ascii="Calibri" w:hAnsi="Calibri"/>
          <w:sz w:val="22"/>
          <w:szCs w:val="22"/>
          <w:lang w:val="en-AU"/>
        </w:rPr>
        <w:t>nformation sharing and feedback;</w:t>
      </w:r>
    </w:p>
    <w:p w14:paraId="60CD391E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W</w:t>
      </w:r>
      <w:r w:rsidRPr="000B62ED">
        <w:rPr>
          <w:rFonts w:ascii="Calibri" w:hAnsi="Calibri"/>
          <w:sz w:val="22"/>
          <w:szCs w:val="22"/>
          <w:lang w:val="en-AU"/>
        </w:rPr>
        <w:t xml:space="preserve">ork </w:t>
      </w:r>
      <w:r w:rsidRPr="00420629">
        <w:rPr>
          <w:rFonts w:ascii="Calibri" w:hAnsi="Calibri"/>
          <w:sz w:val="22"/>
          <w:szCs w:val="22"/>
          <w:lang w:val="en-AU"/>
        </w:rPr>
        <w:t>collaboratively,</w:t>
      </w:r>
      <w:r w:rsidRPr="000B62ED">
        <w:rPr>
          <w:rFonts w:ascii="Calibri" w:hAnsi="Calibri"/>
          <w:sz w:val="22"/>
          <w:szCs w:val="22"/>
          <w:lang w:val="en-AU"/>
        </w:rPr>
        <w:t xml:space="preserve"> </w:t>
      </w:r>
      <w:r w:rsidRPr="00420629">
        <w:rPr>
          <w:rFonts w:ascii="Calibri" w:hAnsi="Calibri"/>
          <w:b/>
          <w:sz w:val="22"/>
          <w:szCs w:val="22"/>
          <w:lang w:val="en-AU"/>
        </w:rPr>
        <w:t>build linkages</w:t>
      </w:r>
      <w:r w:rsidRPr="000B62ED">
        <w:rPr>
          <w:rFonts w:ascii="Calibri" w:hAnsi="Calibri"/>
          <w:sz w:val="22"/>
          <w:szCs w:val="22"/>
          <w:lang w:val="en-AU"/>
        </w:rPr>
        <w:t xml:space="preserve"> and share information across disciplines i</w:t>
      </w:r>
      <w:r>
        <w:rPr>
          <w:rFonts w:ascii="Calibri" w:hAnsi="Calibri"/>
          <w:sz w:val="22"/>
          <w:szCs w:val="22"/>
          <w:lang w:val="en-AU"/>
        </w:rPr>
        <w:t>n health and medical education;</w:t>
      </w:r>
    </w:p>
    <w:p w14:paraId="3C151C0D" w14:textId="77777777" w:rsidR="00B1033B" w:rsidRPr="000B62ED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C</w:t>
      </w:r>
      <w:r w:rsidRPr="000B62ED">
        <w:rPr>
          <w:rFonts w:ascii="Calibri" w:hAnsi="Calibri"/>
          <w:sz w:val="22"/>
          <w:szCs w:val="22"/>
          <w:lang w:val="en-AU"/>
        </w:rPr>
        <w:t xml:space="preserve">ontribute to Indigenous health and medical education, and related health workforce issues, through the provision of </w:t>
      </w:r>
      <w:r w:rsidRPr="00894BE1">
        <w:rPr>
          <w:rFonts w:ascii="Calibri" w:hAnsi="Calibri"/>
          <w:b/>
          <w:sz w:val="22"/>
          <w:szCs w:val="22"/>
          <w:lang w:val="en-AU"/>
        </w:rPr>
        <w:t>policy advice and recommendations</w:t>
      </w:r>
      <w:r w:rsidRPr="000B62ED">
        <w:rPr>
          <w:rFonts w:ascii="Calibri" w:hAnsi="Calibri"/>
          <w:sz w:val="22"/>
          <w:szCs w:val="22"/>
          <w:lang w:val="en-AU"/>
        </w:rPr>
        <w:t xml:space="preserve"> to organisati</w:t>
      </w:r>
      <w:r>
        <w:rPr>
          <w:rFonts w:ascii="Calibri" w:hAnsi="Calibri"/>
          <w:sz w:val="22"/>
          <w:szCs w:val="22"/>
          <w:lang w:val="en-AU"/>
        </w:rPr>
        <w:t>ons, as appropriate;</w:t>
      </w:r>
    </w:p>
    <w:p w14:paraId="10E1E4A2" w14:textId="77777777" w:rsidR="00B1033B" w:rsidRPr="00894BE1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94BE1">
        <w:rPr>
          <w:rFonts w:ascii="Calibri" w:hAnsi="Calibri"/>
          <w:sz w:val="22"/>
          <w:szCs w:val="22"/>
          <w:lang w:val="en-AU"/>
        </w:rPr>
        <w:t>Ensure</w:t>
      </w:r>
      <w:r w:rsidRPr="000B62ED">
        <w:rPr>
          <w:rFonts w:ascii="Calibri" w:hAnsi="Calibri"/>
          <w:sz w:val="22"/>
          <w:szCs w:val="22"/>
          <w:lang w:val="en-AU"/>
        </w:rPr>
        <w:t xml:space="preserve"> that there is a </w:t>
      </w:r>
      <w:r w:rsidRPr="00894BE1">
        <w:rPr>
          <w:rFonts w:ascii="Calibri" w:hAnsi="Calibri"/>
          <w:sz w:val="22"/>
          <w:szCs w:val="22"/>
          <w:lang w:val="en-AU"/>
        </w:rPr>
        <w:t>biennial</w:t>
      </w:r>
      <w:r w:rsidRPr="00894BE1">
        <w:rPr>
          <w:rFonts w:ascii="Calibri" w:hAnsi="Calibri"/>
          <w:b/>
          <w:sz w:val="22"/>
          <w:szCs w:val="22"/>
          <w:lang w:val="en-AU"/>
        </w:rPr>
        <w:t xml:space="preserve"> professional conference</w:t>
      </w:r>
      <w:r w:rsidRPr="000B62ED">
        <w:rPr>
          <w:rFonts w:ascii="Calibri" w:hAnsi="Calibri"/>
          <w:sz w:val="22"/>
          <w:szCs w:val="22"/>
          <w:lang w:val="en-AU"/>
        </w:rPr>
        <w:t xml:space="preserve"> (LIME Connection) for </w:t>
      </w:r>
      <w:r>
        <w:rPr>
          <w:rFonts w:ascii="Calibri" w:hAnsi="Calibri"/>
          <w:sz w:val="22"/>
          <w:szCs w:val="22"/>
          <w:lang w:val="en-AU"/>
        </w:rPr>
        <w:t>those</w:t>
      </w:r>
      <w:r w:rsidRPr="000B62ED">
        <w:rPr>
          <w:rFonts w:ascii="Calibri" w:hAnsi="Calibri"/>
          <w:sz w:val="22"/>
          <w:szCs w:val="22"/>
          <w:lang w:val="en-AU"/>
        </w:rPr>
        <w:t xml:space="preserve"> interested or engaged in Indigenous health and medical education</w:t>
      </w:r>
      <w:r>
        <w:rPr>
          <w:rFonts w:ascii="Calibri" w:hAnsi="Calibri"/>
          <w:sz w:val="22"/>
          <w:szCs w:val="22"/>
          <w:lang w:val="en-AU"/>
        </w:rPr>
        <w:t xml:space="preserve"> to share and collaborate</w:t>
      </w:r>
      <w:r w:rsidRPr="000B62ED">
        <w:rPr>
          <w:rFonts w:ascii="Calibri" w:hAnsi="Calibri"/>
          <w:sz w:val="22"/>
          <w:szCs w:val="22"/>
          <w:lang w:val="en-AU"/>
        </w:rPr>
        <w:t>.</w:t>
      </w:r>
    </w:p>
    <w:p w14:paraId="450CE063" w14:textId="77777777" w:rsidR="00B1033B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</w:p>
    <w:p w14:paraId="1A08FF06" w14:textId="77777777" w:rsidR="00B1033B" w:rsidRPr="007B6EDF" w:rsidRDefault="00B1033B" w:rsidP="00B1033B">
      <w:pPr>
        <w:shd w:val="clear" w:color="auto" w:fill="FFFFFF"/>
        <w:spacing w:after="0" w:line="312" w:lineRule="auto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  <w:r>
        <w:rPr>
          <w:rFonts w:ascii="Calibri" w:hAnsi="Calibri"/>
          <w:b/>
          <w:sz w:val="22"/>
          <w:szCs w:val="22"/>
          <w:u w:val="single"/>
          <w:lang w:val="en-AU"/>
        </w:rPr>
        <w:t>Membership</w:t>
      </w:r>
    </w:p>
    <w:p w14:paraId="662C407A" w14:textId="77777777" w:rsidR="00B1033B" w:rsidRDefault="00B1033B" w:rsidP="00B1033B">
      <w:pPr>
        <w:shd w:val="clear" w:color="auto" w:fill="FFFFFF"/>
        <w:spacing w:after="0"/>
        <w:outlineLvl w:val="1"/>
        <w:rPr>
          <w:rFonts w:ascii="Calibri" w:hAnsi="Calibri" w:cs="Arial"/>
          <w:color w:val="292929"/>
          <w:sz w:val="22"/>
          <w:szCs w:val="22"/>
        </w:rPr>
      </w:pPr>
      <w:r w:rsidRPr="007B6EDF">
        <w:rPr>
          <w:rFonts w:ascii="Calibri" w:hAnsi="Calibri" w:cs="Arial"/>
          <w:color w:val="292929"/>
          <w:sz w:val="22"/>
          <w:szCs w:val="22"/>
        </w:rPr>
        <w:t xml:space="preserve">The Reference Group is made up of </w:t>
      </w:r>
      <w:r>
        <w:rPr>
          <w:rFonts w:ascii="Calibri" w:hAnsi="Calibri" w:cs="Arial"/>
          <w:color w:val="292929"/>
          <w:sz w:val="22"/>
          <w:szCs w:val="22"/>
        </w:rPr>
        <w:t xml:space="preserve">one </w:t>
      </w:r>
      <w:r w:rsidRPr="007B6EDF">
        <w:rPr>
          <w:rFonts w:ascii="Calibri" w:hAnsi="Calibri" w:cs="Arial"/>
          <w:color w:val="292929"/>
          <w:sz w:val="22"/>
          <w:szCs w:val="22"/>
        </w:rPr>
        <w:t>representative from each medical school in Australia and Aotearoa/New Zealand</w:t>
      </w:r>
      <w:r>
        <w:rPr>
          <w:rFonts w:ascii="Calibri" w:hAnsi="Calibri" w:cs="Arial"/>
          <w:color w:val="292929"/>
          <w:sz w:val="22"/>
          <w:szCs w:val="22"/>
        </w:rPr>
        <w:t xml:space="preserve">, nominated by the Dean. Where possible and appropriate, this representative should be Aboriginal or Torres Strait Island (if in Australia) and </w:t>
      </w:r>
      <w:r w:rsidRPr="004979FF">
        <w:rPr>
          <w:rFonts w:ascii="Calibri" w:hAnsi="Calibri" w:cs="Arial"/>
          <w:color w:val="292929"/>
          <w:sz w:val="22"/>
          <w:szCs w:val="22"/>
        </w:rPr>
        <w:t>Māori</w:t>
      </w:r>
      <w:r>
        <w:rPr>
          <w:rFonts w:ascii="Calibri" w:hAnsi="Calibri" w:cs="Arial"/>
          <w:color w:val="292929"/>
          <w:sz w:val="22"/>
          <w:szCs w:val="22"/>
        </w:rPr>
        <w:t xml:space="preserve"> (if in </w:t>
      </w:r>
      <w:r w:rsidRPr="007B6EDF">
        <w:rPr>
          <w:rFonts w:ascii="Calibri" w:hAnsi="Calibri" w:cs="Arial"/>
          <w:color w:val="292929"/>
          <w:sz w:val="22"/>
          <w:szCs w:val="22"/>
        </w:rPr>
        <w:t>Aotearoa</w:t>
      </w:r>
      <w:r>
        <w:rPr>
          <w:rFonts w:ascii="Calibri" w:hAnsi="Calibri" w:cs="Arial"/>
          <w:color w:val="292929"/>
          <w:sz w:val="22"/>
          <w:szCs w:val="22"/>
        </w:rPr>
        <w:t>), and hold at least a 0.6 position within the institution. This representative may have a specific specialty field, for example, admissions, teaching, or assessment. When required a member might be specifically requested due to their specialty, to enhance the expertise of the group.</w:t>
      </w:r>
    </w:p>
    <w:p w14:paraId="4AB2641B" w14:textId="77777777" w:rsidR="00B1033B" w:rsidRDefault="00B1033B" w:rsidP="00B1033B">
      <w:pPr>
        <w:shd w:val="clear" w:color="auto" w:fill="FFFFFF"/>
        <w:spacing w:after="0"/>
        <w:outlineLvl w:val="1"/>
        <w:rPr>
          <w:rFonts w:ascii="Calibri" w:hAnsi="Calibri" w:cs="Arial"/>
          <w:color w:val="292929"/>
          <w:sz w:val="22"/>
          <w:szCs w:val="22"/>
        </w:rPr>
      </w:pPr>
    </w:p>
    <w:p w14:paraId="38B74D34" w14:textId="77777777" w:rsidR="00B1033B" w:rsidRDefault="00B1033B" w:rsidP="00B1033B">
      <w:pPr>
        <w:spacing w:after="0"/>
        <w:rPr>
          <w:rFonts w:ascii="Calibri" w:hAnsi="Calibri" w:cs="Arial"/>
          <w:color w:val="292929"/>
          <w:sz w:val="22"/>
          <w:szCs w:val="22"/>
        </w:rPr>
      </w:pPr>
      <w:r>
        <w:rPr>
          <w:rFonts w:ascii="Calibri" w:hAnsi="Calibri" w:cs="Arial"/>
          <w:color w:val="292929"/>
          <w:sz w:val="22"/>
          <w:szCs w:val="22"/>
        </w:rPr>
        <w:t>A proxy should attend when the member is unavailable, and should be chosen with Indigenous leadership and succession planning in mind.</w:t>
      </w:r>
      <w:r w:rsidRPr="005D4F06">
        <w:rPr>
          <w:rFonts w:ascii="Calibri" w:hAnsi="Calibri" w:cs="Arial"/>
          <w:color w:val="292929"/>
          <w:sz w:val="22"/>
          <w:szCs w:val="22"/>
        </w:rPr>
        <w:t xml:space="preserve"> </w:t>
      </w:r>
      <w:r>
        <w:rPr>
          <w:rFonts w:ascii="Calibri" w:hAnsi="Calibri" w:cs="Arial"/>
          <w:color w:val="292929"/>
          <w:sz w:val="22"/>
          <w:szCs w:val="22"/>
        </w:rPr>
        <w:t>In the instance that a member fails to attend or to send a proxy for three consecutive meetings, the Dean of their university will be asked to nominate another representative.</w:t>
      </w:r>
    </w:p>
    <w:p w14:paraId="48B48151" w14:textId="77777777" w:rsidR="00F81F93" w:rsidRDefault="00F81F93" w:rsidP="00B1033B">
      <w:pPr>
        <w:spacing w:after="0"/>
        <w:rPr>
          <w:rFonts w:ascii="Calibri" w:hAnsi="Calibri" w:cs="Arial"/>
          <w:color w:val="292929"/>
          <w:sz w:val="22"/>
          <w:szCs w:val="22"/>
        </w:rPr>
      </w:pPr>
    </w:p>
    <w:p w14:paraId="51E453AC" w14:textId="77777777" w:rsidR="00B1033B" w:rsidRDefault="00B1033B" w:rsidP="00B1033B">
      <w:pPr>
        <w:spacing w:after="0"/>
        <w:rPr>
          <w:rFonts w:ascii="Calibri" w:hAnsi="Calibri" w:cs="Arial"/>
          <w:color w:val="292929"/>
          <w:sz w:val="22"/>
          <w:szCs w:val="22"/>
        </w:rPr>
      </w:pPr>
      <w:r>
        <w:rPr>
          <w:rFonts w:ascii="Calibri" w:hAnsi="Calibri" w:cs="Arial"/>
          <w:color w:val="292929"/>
          <w:sz w:val="22"/>
          <w:szCs w:val="22"/>
        </w:rPr>
        <w:t>The Reference Group Chair will be the LIME Network Program Director or nominee.</w:t>
      </w:r>
    </w:p>
    <w:p w14:paraId="7FDD7C44" w14:textId="77777777" w:rsidR="00B1033B" w:rsidRDefault="00B1033B" w:rsidP="00B1033B">
      <w:pPr>
        <w:spacing w:after="0"/>
        <w:rPr>
          <w:rFonts w:ascii="Calibri" w:hAnsi="Calibri" w:cs="Arial"/>
          <w:color w:val="292929"/>
          <w:sz w:val="22"/>
          <w:szCs w:val="22"/>
        </w:rPr>
      </w:pPr>
    </w:p>
    <w:p w14:paraId="6EF5460B" w14:textId="77777777" w:rsidR="00B1033B" w:rsidRPr="005429CD" w:rsidRDefault="00B1033B" w:rsidP="00B1033B">
      <w:pPr>
        <w:spacing w:after="0"/>
        <w:rPr>
          <w:rFonts w:ascii="Calibri" w:hAnsi="Calibri" w:cs="Arial"/>
          <w:b/>
          <w:color w:val="292929"/>
          <w:sz w:val="22"/>
          <w:szCs w:val="22"/>
          <w:u w:val="single"/>
        </w:rPr>
      </w:pPr>
      <w:r w:rsidRPr="005429CD">
        <w:rPr>
          <w:rFonts w:ascii="Calibri" w:hAnsi="Calibri" w:cs="Arial"/>
          <w:b/>
          <w:color w:val="292929"/>
          <w:sz w:val="22"/>
          <w:szCs w:val="22"/>
          <w:u w:val="single"/>
        </w:rPr>
        <w:t>Meetings</w:t>
      </w:r>
    </w:p>
    <w:p w14:paraId="528D1240" w14:textId="77777777" w:rsidR="00B1033B" w:rsidRPr="00813814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13814">
        <w:rPr>
          <w:rFonts w:ascii="Calibri" w:hAnsi="Calibri"/>
          <w:sz w:val="22"/>
          <w:szCs w:val="22"/>
          <w:lang w:val="en-AU"/>
        </w:rPr>
        <w:t>Face to face meetings occur twice a year.  The group members’ institution will cover the cost of members attending the meetings</w:t>
      </w:r>
      <w:r>
        <w:rPr>
          <w:rFonts w:ascii="Calibri" w:hAnsi="Calibri"/>
          <w:sz w:val="22"/>
          <w:szCs w:val="22"/>
          <w:lang w:val="en-AU"/>
        </w:rPr>
        <w:t>;</w:t>
      </w:r>
    </w:p>
    <w:p w14:paraId="0901FDA4" w14:textId="77777777" w:rsidR="00B1033B" w:rsidRPr="00813814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13814">
        <w:rPr>
          <w:rFonts w:ascii="Calibri" w:hAnsi="Calibri"/>
          <w:sz w:val="22"/>
          <w:szCs w:val="22"/>
          <w:lang w:val="en-AU"/>
        </w:rPr>
        <w:t>When required sub-committees, or working parties of the LIME Network Reference Group will meet on a</w:t>
      </w:r>
      <w:r>
        <w:rPr>
          <w:rFonts w:ascii="Calibri" w:hAnsi="Calibri"/>
          <w:sz w:val="22"/>
          <w:szCs w:val="22"/>
          <w:lang w:val="en-AU"/>
        </w:rPr>
        <w:t>n as-</w:t>
      </w:r>
      <w:r w:rsidRPr="00813814">
        <w:rPr>
          <w:rFonts w:ascii="Calibri" w:hAnsi="Calibri"/>
          <w:sz w:val="22"/>
          <w:szCs w:val="22"/>
          <w:lang w:val="en-AU"/>
        </w:rPr>
        <w:t>needs basis</w:t>
      </w:r>
      <w:r>
        <w:rPr>
          <w:rFonts w:ascii="Calibri" w:hAnsi="Calibri"/>
          <w:sz w:val="22"/>
          <w:szCs w:val="22"/>
          <w:lang w:val="en-AU"/>
        </w:rPr>
        <w:t>;</w:t>
      </w:r>
    </w:p>
    <w:p w14:paraId="2C6C2EA2" w14:textId="77777777" w:rsidR="00B1033B" w:rsidRPr="00813814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13814">
        <w:rPr>
          <w:rFonts w:ascii="Calibri" w:hAnsi="Calibri"/>
          <w:sz w:val="22"/>
          <w:szCs w:val="22"/>
          <w:lang w:val="en-AU"/>
        </w:rPr>
        <w:t>Other required meetings throughout the year will be facilitated through teleconference or video-conference</w:t>
      </w:r>
      <w:r>
        <w:rPr>
          <w:rFonts w:ascii="Calibri" w:hAnsi="Calibri"/>
          <w:sz w:val="22"/>
          <w:szCs w:val="22"/>
          <w:lang w:val="en-AU"/>
        </w:rPr>
        <w:t>;</w:t>
      </w:r>
    </w:p>
    <w:p w14:paraId="4D45BD37" w14:textId="77777777" w:rsidR="00B1033B" w:rsidRPr="00813814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813814">
        <w:rPr>
          <w:rFonts w:ascii="Calibri" w:hAnsi="Calibri"/>
          <w:sz w:val="22"/>
          <w:szCs w:val="22"/>
          <w:lang w:val="en-AU"/>
        </w:rPr>
        <w:t xml:space="preserve">Key Indigenous </w:t>
      </w:r>
      <w:r>
        <w:rPr>
          <w:rFonts w:ascii="Calibri" w:hAnsi="Calibri"/>
          <w:sz w:val="22"/>
          <w:szCs w:val="22"/>
          <w:lang w:val="en-AU"/>
        </w:rPr>
        <w:t xml:space="preserve">and other </w:t>
      </w:r>
      <w:r w:rsidRPr="00813814">
        <w:rPr>
          <w:rFonts w:ascii="Calibri" w:hAnsi="Calibri"/>
          <w:sz w:val="22"/>
          <w:szCs w:val="22"/>
          <w:lang w:val="en-AU"/>
        </w:rPr>
        <w:t>stakeholder groups will also be invited to meetings to ensure social accountability and an effective communication strategy</w:t>
      </w:r>
      <w:r>
        <w:rPr>
          <w:rFonts w:ascii="Calibri" w:hAnsi="Calibri"/>
          <w:sz w:val="22"/>
          <w:szCs w:val="22"/>
          <w:lang w:val="en-AU"/>
        </w:rPr>
        <w:t xml:space="preserve"> where appropriate</w:t>
      </w:r>
      <w:r w:rsidRPr="00813814">
        <w:rPr>
          <w:rFonts w:ascii="Calibri" w:hAnsi="Calibri"/>
          <w:sz w:val="22"/>
          <w:szCs w:val="22"/>
          <w:lang w:val="en-AU"/>
        </w:rPr>
        <w:t>.</w:t>
      </w:r>
    </w:p>
    <w:p w14:paraId="0778C1F2" w14:textId="77777777" w:rsidR="00B1033B" w:rsidRDefault="00B1033B" w:rsidP="00B1033B">
      <w:pPr>
        <w:shd w:val="clear" w:color="auto" w:fill="FFFFFF"/>
        <w:spacing w:after="0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</w:p>
    <w:p w14:paraId="3EB52805" w14:textId="77777777" w:rsidR="00B1033B" w:rsidRDefault="00B1033B" w:rsidP="00B1033B">
      <w:pPr>
        <w:shd w:val="clear" w:color="auto" w:fill="FFFFFF"/>
        <w:spacing w:after="0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  <w:r>
        <w:rPr>
          <w:rFonts w:ascii="Calibri" w:hAnsi="Calibri"/>
          <w:b/>
          <w:sz w:val="22"/>
          <w:szCs w:val="22"/>
          <w:u w:val="single"/>
          <w:lang w:val="en-AU"/>
        </w:rPr>
        <w:t>Reporting</w:t>
      </w:r>
    </w:p>
    <w:p w14:paraId="46CD301E" w14:textId="77777777" w:rsidR="00B1033B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 w:rsidRPr="00792CE9">
        <w:rPr>
          <w:rFonts w:ascii="Calibri" w:hAnsi="Calibri"/>
          <w:sz w:val="22"/>
          <w:szCs w:val="22"/>
          <w:lang w:val="en-AU"/>
        </w:rPr>
        <w:t xml:space="preserve">The LIME </w:t>
      </w:r>
      <w:r>
        <w:rPr>
          <w:rFonts w:ascii="Calibri" w:hAnsi="Calibri"/>
          <w:sz w:val="22"/>
          <w:szCs w:val="22"/>
          <w:lang w:val="en-AU"/>
        </w:rPr>
        <w:t xml:space="preserve">Network </w:t>
      </w:r>
      <w:r w:rsidRPr="00792CE9">
        <w:rPr>
          <w:rFonts w:ascii="Calibri" w:hAnsi="Calibri"/>
          <w:sz w:val="22"/>
          <w:szCs w:val="22"/>
          <w:lang w:val="en-AU"/>
        </w:rPr>
        <w:t xml:space="preserve">secretariat will </w:t>
      </w:r>
      <w:r>
        <w:rPr>
          <w:rFonts w:ascii="Calibri" w:hAnsi="Calibri"/>
          <w:sz w:val="22"/>
          <w:szCs w:val="22"/>
          <w:lang w:val="en-AU"/>
        </w:rPr>
        <w:t>develop</w:t>
      </w:r>
      <w:r w:rsidRPr="00792CE9">
        <w:rPr>
          <w:rFonts w:ascii="Calibri" w:hAnsi="Calibri"/>
          <w:sz w:val="22"/>
          <w:szCs w:val="22"/>
          <w:lang w:val="en-AU"/>
        </w:rPr>
        <w:t xml:space="preserve"> a </w:t>
      </w:r>
      <w:r>
        <w:rPr>
          <w:rFonts w:ascii="Calibri" w:hAnsi="Calibri"/>
          <w:sz w:val="22"/>
          <w:szCs w:val="22"/>
          <w:lang w:val="en-AU"/>
        </w:rPr>
        <w:t>briefing sheet that provides an overview of the work accomplished and presented at each LIME Network Reference Group meeting.</w:t>
      </w:r>
    </w:p>
    <w:p w14:paraId="48BBC2BE" w14:textId="77777777" w:rsidR="00B1033B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Each LIME Network Reference Group member will report back to their school’s Dean on the business discussed within the meeting (utilising the briefing sheet).</w:t>
      </w:r>
    </w:p>
    <w:p w14:paraId="662AD6AD" w14:textId="77777777" w:rsidR="00B1033B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Program Director will report to the Medical Deans Indigenous Health and Development Advisory Committee.</w:t>
      </w:r>
    </w:p>
    <w:p w14:paraId="147A9B05" w14:textId="77777777" w:rsidR="00B1033B" w:rsidRDefault="00B1033B" w:rsidP="00B1033B">
      <w:pPr>
        <w:numPr>
          <w:ilvl w:val="0"/>
          <w:numId w:val="1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Minutes of the meeting will be made available to Medical Deans Australia and New Zealand and to the Australian Government Department of Health.</w:t>
      </w:r>
    </w:p>
    <w:p w14:paraId="3E99BF12" w14:textId="77777777" w:rsidR="00B1033B" w:rsidRDefault="00B1033B" w:rsidP="00B1033B">
      <w:p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</w:p>
    <w:p w14:paraId="2B43EE7B" w14:textId="77777777" w:rsidR="00B1033B" w:rsidRPr="004979FF" w:rsidRDefault="00B1033B" w:rsidP="00B1033B">
      <w:pPr>
        <w:shd w:val="clear" w:color="auto" w:fill="FFFFFF"/>
        <w:spacing w:after="0"/>
        <w:outlineLvl w:val="1"/>
        <w:rPr>
          <w:rFonts w:ascii="Calibri" w:hAnsi="Calibri"/>
          <w:b/>
          <w:sz w:val="22"/>
          <w:szCs w:val="22"/>
          <w:u w:val="single"/>
          <w:lang w:val="en-AU"/>
        </w:rPr>
      </w:pPr>
      <w:r w:rsidRPr="004979FF">
        <w:rPr>
          <w:rFonts w:ascii="Calibri" w:hAnsi="Calibri"/>
          <w:b/>
          <w:sz w:val="22"/>
          <w:szCs w:val="22"/>
          <w:u w:val="single"/>
          <w:lang w:val="en-AU"/>
        </w:rPr>
        <w:t>Review</w:t>
      </w:r>
    </w:p>
    <w:p w14:paraId="6820AF76" w14:textId="77777777" w:rsidR="00B1033B" w:rsidRPr="00C53F19" w:rsidRDefault="00B1033B" w:rsidP="00B1033B">
      <w:pPr>
        <w:pStyle w:val="ListParagraph"/>
        <w:numPr>
          <w:ilvl w:val="0"/>
          <w:numId w:val="3"/>
        </w:numPr>
        <w:shd w:val="clear" w:color="auto" w:fill="FFFFFF"/>
        <w:spacing w:after="0"/>
        <w:outlineLvl w:val="1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The Terms of Reference will be reviewed annually.</w:t>
      </w:r>
    </w:p>
    <w:p w14:paraId="07FE66A0" w14:textId="684349FB" w:rsidR="00F81F93" w:rsidRPr="00F81F93" w:rsidRDefault="00F81F93" w:rsidP="007D7E64">
      <w:pPr>
        <w:spacing w:after="0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81F93" w:rsidRPr="00F81F93" w:rsidSect="00F81F93">
      <w:headerReference w:type="default" r:id="rId8"/>
      <w:footerReference w:type="even" r:id="rId9"/>
      <w:footerReference w:type="default" r:id="rId10"/>
      <w:pgSz w:w="12240" w:h="15840"/>
      <w:pgMar w:top="371" w:right="900" w:bottom="124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2511E" w14:textId="77777777" w:rsidR="008517BB" w:rsidRDefault="008517BB">
      <w:pPr>
        <w:spacing w:after="0"/>
      </w:pPr>
      <w:r>
        <w:separator/>
      </w:r>
    </w:p>
  </w:endnote>
  <w:endnote w:type="continuationSeparator" w:id="0">
    <w:p w14:paraId="16B175F1" w14:textId="77777777" w:rsidR="008517BB" w:rsidRDefault="008517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2F52" w14:textId="77777777" w:rsidR="00F47535" w:rsidRDefault="00B1033B" w:rsidP="00EC7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29B0A59" w14:textId="77777777" w:rsidR="00F47535" w:rsidRDefault="008517BB" w:rsidP="00EC7B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03EA" w14:textId="61D47B01" w:rsidR="00F47535" w:rsidRPr="00F81F93" w:rsidRDefault="00B1033B" w:rsidP="00F81F93">
    <w:pPr>
      <w:pStyle w:val="Footer"/>
      <w:jc w:val="right"/>
      <w:rPr>
        <w:rFonts w:ascii="Calibri" w:hAnsi="Calibri"/>
        <w:i/>
        <w:sz w:val="16"/>
        <w:szCs w:val="16"/>
      </w:rPr>
    </w:pPr>
    <w:r w:rsidRPr="00F43E36">
      <w:rPr>
        <w:rFonts w:ascii="Calibri" w:hAnsi="Calibri"/>
        <w:i/>
        <w:sz w:val="16"/>
        <w:szCs w:val="16"/>
      </w:rPr>
      <w:fldChar w:fldCharType="begin"/>
    </w:r>
    <w:r w:rsidRPr="00F43E36">
      <w:rPr>
        <w:rFonts w:ascii="Calibri" w:hAnsi="Calibri"/>
        <w:i/>
        <w:sz w:val="16"/>
        <w:szCs w:val="16"/>
      </w:rPr>
      <w:instrText xml:space="preserve"> PAGE   \* MERGEFORMAT </w:instrText>
    </w:r>
    <w:r w:rsidRPr="00F43E36">
      <w:rPr>
        <w:rFonts w:ascii="Calibri" w:hAnsi="Calibri"/>
        <w:i/>
        <w:sz w:val="16"/>
        <w:szCs w:val="16"/>
      </w:rPr>
      <w:fldChar w:fldCharType="separate"/>
    </w:r>
    <w:r w:rsidR="008517BB">
      <w:rPr>
        <w:rFonts w:ascii="Calibri" w:hAnsi="Calibri"/>
        <w:i/>
        <w:noProof/>
        <w:sz w:val="16"/>
        <w:szCs w:val="16"/>
      </w:rPr>
      <w:t>1</w:t>
    </w:r>
    <w:r w:rsidRPr="00F43E36">
      <w:rPr>
        <w:rFonts w:ascii="Calibri" w:hAnsi="Calibr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6AD5D" w14:textId="77777777" w:rsidR="008517BB" w:rsidRDefault="008517BB">
      <w:pPr>
        <w:spacing w:after="0"/>
      </w:pPr>
      <w:r>
        <w:separator/>
      </w:r>
    </w:p>
  </w:footnote>
  <w:footnote w:type="continuationSeparator" w:id="0">
    <w:p w14:paraId="2C8FC7E2" w14:textId="77777777" w:rsidR="008517BB" w:rsidRDefault="008517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90193" w14:textId="77777777" w:rsidR="00F47535" w:rsidRPr="00456E85" w:rsidRDefault="00B1033B">
    <w:pPr>
      <w:pStyle w:val="Header"/>
      <w:rPr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FC1"/>
    <w:multiLevelType w:val="hybridMultilevel"/>
    <w:tmpl w:val="F1E8FA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3844"/>
    <w:multiLevelType w:val="hybridMultilevel"/>
    <w:tmpl w:val="6E2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7CE2"/>
    <w:multiLevelType w:val="hybridMultilevel"/>
    <w:tmpl w:val="92DC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3B"/>
    <w:rsid w:val="000F333F"/>
    <w:rsid w:val="0013094A"/>
    <w:rsid w:val="001D107B"/>
    <w:rsid w:val="0020639A"/>
    <w:rsid w:val="00233F2B"/>
    <w:rsid w:val="005502EC"/>
    <w:rsid w:val="00665D38"/>
    <w:rsid w:val="006C2BD3"/>
    <w:rsid w:val="00707848"/>
    <w:rsid w:val="00727A6A"/>
    <w:rsid w:val="00753CD0"/>
    <w:rsid w:val="007D7E64"/>
    <w:rsid w:val="008517BB"/>
    <w:rsid w:val="0087531A"/>
    <w:rsid w:val="00971FD8"/>
    <w:rsid w:val="00A3390E"/>
    <w:rsid w:val="00A54967"/>
    <w:rsid w:val="00B1033B"/>
    <w:rsid w:val="00B30670"/>
    <w:rsid w:val="00B46BA6"/>
    <w:rsid w:val="00B84430"/>
    <w:rsid w:val="00B92C93"/>
    <w:rsid w:val="00C427D9"/>
    <w:rsid w:val="00C7496B"/>
    <w:rsid w:val="00DB5ACE"/>
    <w:rsid w:val="00DF6CE7"/>
    <w:rsid w:val="00F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96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33B"/>
    <w:pPr>
      <w:spacing w:after="200"/>
    </w:pPr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033B"/>
    <w:rPr>
      <w:rFonts w:ascii="Cambria" w:eastAsia="MS ??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10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3B"/>
    <w:rPr>
      <w:rFonts w:ascii="Cambria" w:eastAsia="MS ??" w:hAnsi="Cambria" w:cs="Times New Roman"/>
      <w:lang w:eastAsia="en-US"/>
    </w:rPr>
  </w:style>
  <w:style w:type="character" w:styleId="PageNumber">
    <w:name w:val="page number"/>
    <w:uiPriority w:val="99"/>
    <w:rsid w:val="00B1033B"/>
    <w:rPr>
      <w:rFonts w:cs="Times New Roman"/>
    </w:rPr>
  </w:style>
  <w:style w:type="character" w:styleId="Strong">
    <w:name w:val="Strong"/>
    <w:uiPriority w:val="22"/>
    <w:qFormat/>
    <w:rsid w:val="00B1033B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B1033B"/>
    <w:pPr>
      <w:spacing w:after="0"/>
    </w:pPr>
    <w:rPr>
      <w:rFonts w:ascii="Calibri" w:eastAsia="Calibri" w:hAnsi="Calibri" w:cs="Calibri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1033B"/>
    <w:rPr>
      <w:rFonts w:ascii="Calibri" w:eastAsia="Calibri" w:hAnsi="Calibri" w:cs="Calibri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1033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3192</Characters>
  <Application>Microsoft Macintosh Word</Application>
  <DocSecurity>0</DocSecurity>
  <Lines>53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    Terms of Reference</vt:lpstr>
      <vt:lpstr>    The role of the LIME Network Reference Group is to develop and support the imple</vt:lpstr>
      <vt:lpstr>    </vt:lpstr>
      <vt:lpstr>    Key Functions of the LIME Network Reference Group</vt:lpstr>
      <vt:lpstr>    Devise and implement sound internal review processes related to Indigenous healt</vt:lpstr>
      <vt:lpstr>    Undertake and encourage professional development, capacity building and mutual s</vt:lpstr>
      <vt:lpstr>    Encourage and support scholarly work relating to Indigenous medical education an</vt:lpstr>
      <vt:lpstr>    Work towards the development of Indigenous health as a discipline in its own rig</vt:lpstr>
      <vt:lpstr>    Work collaboratively, build linkages and share information across disciplines in</vt:lpstr>
      <vt:lpstr>    Contribute to Indigenous health and medical education, and related health workfo</vt:lpstr>
      <vt:lpstr>    Ensure that there is a biennial professional conference (LIME Connection) for th</vt:lpstr>
      <vt:lpstr>    </vt:lpstr>
      <vt:lpstr>    Membership</vt:lpstr>
      <vt:lpstr>    The Reference Group is made up of one representative from each medical school in</vt:lpstr>
      <vt:lpstr>    </vt:lpstr>
      <vt:lpstr>    Face to face meetings occur twice a year.  The group members’ institution will c</vt:lpstr>
      <vt:lpstr>    When required sub-committees, or working parties of the LIME Network Reference G</vt:lpstr>
      <vt:lpstr>    Other required meetings throughout the year will be facilitated through teleconf</vt:lpstr>
      <vt:lpstr>    Key Indigenous and other stakeholder groups will also be invited to meetings to </vt:lpstr>
      <vt:lpstr>    </vt:lpstr>
      <vt:lpstr>    Reporting</vt:lpstr>
      <vt:lpstr>    The LIME Network secretariat will develop a briefing sheet that provides an over</vt:lpstr>
      <vt:lpstr>    Each LIME Network Reference Group member will report back to their school’s Dean</vt:lpstr>
      <vt:lpstr>    The Program Director will report to the Medical Deans Indigenous Health and Deve</vt:lpstr>
      <vt:lpstr>    Minutes of the meeting will be made available to Medical Deans Australia and New</vt:lpstr>
      <vt:lpstr>    </vt:lpstr>
      <vt:lpstr>    Review</vt:lpstr>
      <vt:lpstr>    The Terms of Reference will be reviewed annually.</vt:lpstr>
      <vt:lpstr>    </vt:lpstr>
      <vt:lpstr>    Regional Meeting Committee </vt:lpstr>
      <vt:lpstr>    Committee membership depends on location of meeting</vt:lpstr>
      <vt:lpstr>    </vt:lpstr>
      <vt:lpstr>    LIME Accreditation Tool Trial</vt:lpstr>
      <vt:lpstr>    </vt:lpstr>
      <vt:lpstr>    Good Practice Case Studies Committee </vt:lpstr>
      <vt:lpstr>    </vt:lpstr>
      <vt:lpstr>    LIME Connection VII Committees</vt:lpstr>
      <vt:lpstr>    Organising Committee</vt:lpstr>
      <vt:lpstr>    Scientific Committee</vt:lpstr>
      <vt:lpstr>    LIMElight Committee </vt:lpstr>
      <vt:lpstr>    Bursary Committee</vt:lpstr>
    </vt:vector>
  </TitlesOfParts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Odette Mazel</cp:lastModifiedBy>
  <cp:revision>3</cp:revision>
  <cp:lastPrinted>2017-01-15T22:22:00Z</cp:lastPrinted>
  <dcterms:created xsi:type="dcterms:W3CDTF">2017-11-30T02:58:00Z</dcterms:created>
  <dcterms:modified xsi:type="dcterms:W3CDTF">2017-11-30T02:58:00Z</dcterms:modified>
</cp:coreProperties>
</file>